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10"/>
    <w:p>
      <w:pPr>
        <w:pStyle w:val="Heading1"/>
      </w:pPr>
      <w:r>
        <w:t xml:space="preserve">Homiletics Analysis: Esther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10 is the briefest chapter in the book — three verses — yet it functions as the formal closing seal on the entire Esther narrative. Verse 1 records that King Ahasuerus imposed tribute on the land and the coastlands of the sea, a statement of his imperial reach and power. Verse 2 directs the reader to the official chronicles of the kings of Media and Persia for the full account of the king’s might and power, and specifically for the record of the greatness of Mordecai, whom the king advanced. Verse 3 delivers the chapter’s theological weight: Mordecai the Jew was second only to King Ahasuerus, great among the Jews, popular with the multitude of his brothers, and one who sought the welfare of his people and spoke peace to all his descendants.</w:t>
      </w:r>
    </w:p>
    <w:p>
      <w:pPr>
        <w:pStyle w:val="BodyText"/>
      </w:pPr>
      <w:r>
        <w:t xml:space="preserve">The movement is deliberate. The chapter opens with an emperor — Ahasuerus, sovereign over land and sea, imposing tribute — and closes with Mordecai, a Jewish exile, whose greatness is measured not in tribute extracted but in welfare sought. The contrast is structural and intentional. Ahasuerus exercises power over people; Mordecai exercises power</w:t>
      </w:r>
      <w:r>
        <w:t xml:space="preserve"> </w:t>
      </w:r>
      <w:r>
        <w:rPr>
          <w:i/>
          <w:iCs/>
        </w:rPr>
        <w:t xml:space="preserve">for</w:t>
      </w:r>
      <w:r>
        <w:t xml:space="preserve"> </w:t>
      </w:r>
      <w:r>
        <w:t xml:space="preserve">people. The chapter — and the book — ends not with Persian imperial grandeur but with a Jewish man from the tribe of Benjamin, once sitting at the king’s gate, now seated at the king’s right hand, devoted to the shalom of his people.</w:t>
      </w:r>
    </w:p>
    <w:p>
      <w:pPr>
        <w:pStyle w:val="BodyText"/>
      </w:pPr>
      <w:r>
        <w:rPr>
          <w:b/>
          <w:bCs/>
        </w:rPr>
        <w:t xml:space="preserve">This Text — Intent:</w:t>
      </w:r>
    </w:p>
    <w:p>
      <w:pPr>
        <w:pStyle w:val="BodyText"/>
      </w:pPr>
      <w:r>
        <w:t xml:space="preserve">God is bringing the entire Esther narrative to a close by placing before the reader a portrait of faithful, providentially-elevated leadership as the proper goal and fruit of covenant life in exile. The intent is not merely historical conclusion but theological summation: this is what it looks like when God’s hidden hand accomplishes His purposes through ordinary human faithfulness — the people are protected, their advocate is honored, and the outcome is</w:t>
      </w:r>
      <w:r>
        <w:t xml:space="preserve"> </w:t>
      </w:r>
      <w:r>
        <w:rPr>
          <w:i/>
          <w:iCs/>
        </w:rPr>
        <w:t xml:space="preserve">shalom</w:t>
      </w:r>
      <w:r>
        <w:t xml:space="preserve">. God is calling readers to see that the story of Esther is not ultimately about survival but about vocation: His people exist in the world not merely to endure but to seek the welfare of those entrusted to their care, just as Mordecai did. The final verse is the book’s thesis statement in miniature — the kind of person God raises up, and the kind of life His providential purposes are working toward.</w:t>
      </w:r>
    </w:p>
    <w:p>
      <w:r>
        <w:pict>
          <v:rect style="width:0;height:1.5pt" o:hralign="center" o:hrstd="t" o:hr="t"/>
        </w:pict>
      </w:r>
    </w:p>
    <w:p>
      <w:pPr>
        <w:pStyle w:val="FirstParagraph"/>
      </w:pPr>
      <w:r>
        <w:rPr>
          <w:b/>
          <w:bCs/>
        </w:rPr>
        <w:t xml:space="preserve">Subject Sentence:</w:t>
      </w:r>
      <w:r>
        <w:t xml:space="preserve"> </w:t>
      </w:r>
      <w:r>
        <w:t xml:space="preserve">Mordecai’s elevation and devotion to his people’s welfare seals the Esther narrative’s providential testimony.</w:t>
      </w:r>
    </w:p>
    <w:p>
      <w:r>
        <w:pict>
          <v:rect style="width:0;height:1.5pt" o:hralign="center" o:hrstd="t" o:hr="t"/>
        </w:pict>
      </w:r>
    </w:p>
    <w:p>
      <w:pPr>
        <w:pStyle w:val="FirstParagraph"/>
      </w:pPr>
      <w:r>
        <w:rPr>
          <w:b/>
          <w:bCs/>
        </w:rPr>
        <w:t xml:space="preserve">Primary Claim:</w:t>
      </w:r>
      <w:r>
        <w:t xml:space="preserve"> </w:t>
      </w:r>
      <w:r>
        <w:t xml:space="preserve">God brings His hidden providential purposes to completion not in imperial spectacle but in the welfare-seeking faithfulness of His people’s advocate — and calls every reader to that same vocation of seeking shalom for those placed in their care.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most significant interpretive question in Esther 10 is not about a disputed verse but about the chapter’s function: Is this a mere historical postscript, or is it a deliberate theological conclusion? Many commentators treat the chapter as administrative bookending — Ahasuerus’s tribute establishing ongoing Persian power, and Mordecai’s position simply recorded for completeness. This reading underweights the chapter’s structural work. The placement of Mordecai’s character description in the final verse — the book’s literal last words — is not incidental. Ancient narrative convention gives terminal position to the text’s governing emphasis. The book of Esther ends with</w:t>
      </w:r>
      <w:r>
        <w:t xml:space="preserve"> </w:t>
      </w:r>
      <w:r>
        <w:rPr>
          <w:i/>
          <w:iCs/>
        </w:rPr>
        <w:t xml:space="preserve">shalom</w:t>
      </w:r>
      <w:r>
        <w:t xml:space="preserve">, with welfare, with peace spoken to descendants. That is not administrative record-keeping; it is theological summation.</w:t>
      </w:r>
    </w:p>
    <w:p>
      <w:pPr>
        <w:pStyle w:val="BodyText"/>
      </w:pPr>
      <w:r>
        <w:t xml:space="preserve">A second interpretive question concerns the absence of God. Esther is famously the one canonical book that never names God explicitly. Some interpreters — particularly those in liberal-critical traditions — conclude from this that Esther is a secular nationalistic document, and that Esther 10 simply confirms Persian imperial realpolitik with a Jewish beneficiary. This reading fails to account for the narrative’s consistent pattern of providential timing, reversal, and irony that pervades the book. The absence of the divine name is a literary device, not a theological confession of God’s absence. Reformed readers, following Keil, Jobes, and others, rightly read the entire book as a testimony to God’s hidden providence — and Esther 10 as the culminating evidence that His purposes prevailed without a single visible miracle.</w:t>
      </w:r>
    </w:p>
    <w:p>
      <w:pPr>
        <w:pStyle w:val="BodyText"/>
      </w:pPr>
      <w:r>
        <w:t xml:space="preserve">A third question is whether Mordecai’s portrait in verse 3 is meant as an exemplar. Wesleyan and Baptist traditions often read the closing verse prescriptively — Mordecai as the model leader whose servant-heartedness should be imitated. This reading captures something real: the text</w:t>
      </w:r>
      <w:r>
        <w:t xml:space="preserve"> </w:t>
      </w:r>
      <w:r>
        <w:rPr>
          <w:i/>
          <w:iCs/>
        </w:rPr>
        <w:t xml:space="preserve">does</w:t>
      </w:r>
      <w:r>
        <w:t xml:space="preserve"> </w:t>
      </w:r>
      <w:r>
        <w:t xml:space="preserve">hold Mordecai up in the final position of honor, and his character is described approvingly. The Reformed reading affirms the exemplar function but insists it must be grounded in the prior theology of providence. Mordecai is not a self-made servant-leader to be emulated by willpower. He is a man through whom God accomplished His covenant purposes for His people. The imitation called for is not a program but a response to grace — the same grace that protected the line through which Messiah would come.</w:t>
      </w:r>
    </w:p>
    <w:p>
      <w:pPr>
        <w:pStyle w:val="BodyText"/>
      </w:pPr>
      <w:r>
        <w:rPr>
          <w:b/>
          <w:bCs/>
        </w:rPr>
        <w:t xml:space="preserve">Reformed verdict</w:t>
      </w:r>
      <w:r>
        <w:t xml:space="preserve">: Esther 10 is not postscript but peroration. It is the theological summary of the book’s governing claim: God’s hidden providence produces visible shalom for His people through the faithful advocacy of those He raises up. The absence of God’s name heightens rather than undermines this reading — the invisibility of divine action is precisely the point the book has been making across ten chapters.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29:4–7</w:t>
      </w:r>
      <w:r>
        <w:t xml:space="preserve"> </w:t>
      </w:r>
      <w:r>
        <w:t xml:space="preserve">— The LORD commands the exiles in Babylon to seek the</w:t>
      </w:r>
      <w:r>
        <w:t xml:space="preserve"> </w:t>
      </w:r>
      <w:r>
        <w:rPr>
          <w:i/>
          <w:iCs/>
        </w:rPr>
        <w:t xml:space="preserve">shalom</w:t>
      </w:r>
      <w:r>
        <w:t xml:space="preserve"> </w:t>
      </w:r>
      <w:r>
        <w:t xml:space="preserve">of the city where He has sent them. Mordecai’s welfare-seeking in Esther 10:3 is the embodied fulfillment of this prophetic mandate — an exile doing exactly what God instructed His people to do in exile.</w:t>
      </w:r>
    </w:p>
    <w:p>
      <w:pPr>
        <w:numPr>
          <w:ilvl w:val="0"/>
          <w:numId w:val="1001"/>
        </w:numPr>
      </w:pPr>
      <w:r>
        <w:rPr>
          <w:b/>
          <w:bCs/>
        </w:rPr>
        <w:t xml:space="preserve">Genesis 41:37–44; 50:19–20</w:t>
      </w:r>
      <w:r>
        <w:t xml:space="preserve"> </w:t>
      </w:r>
      <w:r>
        <w:t xml:space="preserve">— Joseph’s elevation to second in Egypt under Pharaoh is the canonical template for Mordecai’s elevation to second under Ahasuerus. Both are providential placements of a covenant man in a position of power for the welfare of God’s people. Joseph’s declaration that God intended evil for good (50:20) supplies the theological framework that Esther 10 assumes but does not state.</w:t>
      </w:r>
    </w:p>
    <w:p>
      <w:pPr>
        <w:numPr>
          <w:ilvl w:val="0"/>
          <w:numId w:val="1001"/>
        </w:numPr>
      </w:pPr>
      <w:r>
        <w:rPr>
          <w:b/>
          <w:bCs/>
        </w:rPr>
        <w:t xml:space="preserve">Proverbs 11:14; 29:2</w:t>
      </w:r>
      <w:r>
        <w:t xml:space="preserve"> </w:t>
      </w:r>
      <w:r>
        <w:t xml:space="preserve">—</w:t>
      </w:r>
      <w:r>
        <w:t xml:space="preserve"> </w:t>
      </w:r>
      <w:r>
        <w:t xml:space="preserve">“When the righteous increase, the people rejoice.”</w:t>
      </w:r>
      <w:r>
        <w:t xml:space="preserve"> </w:t>
      </w:r>
      <w:r>
        <w:t xml:space="preserve">Mordecai’s popularity and his people’s welfare in Esther 10:3 instantiate this Wisdom principle — the elevation of a righteous man produces communal flourishing.</w:t>
      </w:r>
    </w:p>
    <w:p>
      <w:pPr>
        <w:numPr>
          <w:ilvl w:val="0"/>
          <w:numId w:val="1001"/>
        </w:numPr>
      </w:pPr>
      <w:r>
        <w:rPr>
          <w:b/>
          <w:bCs/>
        </w:rPr>
        <w:t xml:space="preserve">Romans 8:28</w:t>
      </w:r>
      <w:r>
        <w:t xml:space="preserve"> </w:t>
      </w:r>
      <w:r>
        <w:t xml:space="preserve">—</w:t>
      </w:r>
      <w:r>
        <w:t xml:space="preserve"> </w:t>
      </w:r>
      <w:r>
        <w:t xml:space="preserve">“All things work together for good for those who are called according to His purpose.”</w:t>
      </w:r>
      <w:r>
        <w:t xml:space="preserve"> </w:t>
      </w:r>
      <w:r>
        <w:t xml:space="preserve">The entire Esther narrative — and its conclusion in chapter 10 — is the narrative demonstration of this Pauline confession. Providence working invisibly through human decisions, reversals, and timing to accomplish God’s purposes for His covenant people.</w:t>
      </w:r>
    </w:p>
    <w:p>
      <w:pPr>
        <w:numPr>
          <w:ilvl w:val="0"/>
          <w:numId w:val="1001"/>
        </w:numPr>
      </w:pPr>
      <w:r>
        <w:rPr>
          <w:b/>
          <w:bCs/>
        </w:rPr>
        <w:t xml:space="preserve">Philippians 2:3–4</w:t>
      </w:r>
      <w:r>
        <w:t xml:space="preserve"> </w:t>
      </w:r>
      <w:r>
        <w:t xml:space="preserve">—</w:t>
      </w:r>
      <w:r>
        <w:t xml:space="preserve"> </w:t>
      </w:r>
      <w:r>
        <w:t xml:space="preserve">“Let each of you look not only to his own interests, but also to the interests of others.”</w:t>
      </w:r>
      <w:r>
        <w:t xml:space="preserve"> </w:t>
      </w:r>
      <w:r>
        <w:t xml:space="preserve">Mordecai’s welfare-seeking in verse 3 is the Old Testament portrait of this New Testament command — and finds its ultimate grounding in Christ, who is the true Advocate who sought not His own welfare but ours.</w:t>
      </w:r>
    </w:p>
    <w:p>
      <w:r>
        <w:pict>
          <v:rect style="width:0;height:1.5pt" o:hralign="center" o:hrstd="t" o:hr="t"/>
        </w:pict>
      </w:r>
    </w:p>
    <w:p>
      <w:pPr>
        <w:pStyle w:val="FirstParagraph"/>
      </w:pPr>
      <w:r>
        <w:rPr>
          <w:b/>
          <w:bCs/>
        </w:rPr>
        <w:t xml:space="preserve">Aim:</w:t>
      </w:r>
      <w:r>
        <w:t xml:space="preserve"> </w:t>
      </w:r>
      <w:r>
        <w:t xml:space="preserve">To show that the book of Esther closes by defining the purpose and shape of a life lived under God’s hidden providence — welfare-seeking faithfulness for others — and to call readers to inhabit that vocation in their own spheres of influence.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King Ahasuerus imposed tribute on the land and the coastlands of the sea</w:t>
            </w:r>
          </w:p>
        </w:tc>
        <w:tc>
          <w:tcPr/>
          <w:p>
            <w:pPr>
              <w:pStyle w:val="Compact"/>
            </w:pPr>
            <w:r>
              <w:t xml:space="preserve">Establishes imperial power as the chapter’s opening frame; Ahasuerus extracting from the world</w:t>
            </w:r>
          </w:p>
        </w:tc>
      </w:tr>
      <w:tr>
        <w:tc>
          <w:tcPr/>
          <w:p>
            <w:pPr>
              <w:pStyle w:val="Compact"/>
            </w:pPr>
            <w:r>
              <w:t xml:space="preserve">10:2</w:t>
            </w:r>
          </w:p>
        </w:tc>
        <w:tc>
          <w:tcPr/>
          <w:p>
            <w:pPr>
              <w:pStyle w:val="Compact"/>
            </w:pPr>
            <w:r>
              <w:t xml:space="preserve">His acts of power and might, and the account of the greatness of Mordecai, are recorded in the chronicles of the kings of Media and Persia</w:t>
            </w:r>
          </w:p>
        </w:tc>
        <w:tc>
          <w:tcPr/>
          <w:p>
            <w:pPr>
              <w:pStyle w:val="Compact"/>
            </w:pPr>
            <w:r>
              <w:t xml:space="preserve">The Persian record-keeping motif used throughout Esther (cf. 6:1) now archives Mordecai’s greatness alongside imperial power</w:t>
            </w:r>
          </w:p>
        </w:tc>
      </w:tr>
      <w:tr>
        <w:tc>
          <w:tcPr/>
          <w:p>
            <w:pPr>
              <w:pStyle w:val="Compact"/>
            </w:pPr>
            <w:r>
              <w:t xml:space="preserve">10:3</w:t>
            </w:r>
          </w:p>
        </w:tc>
        <w:tc>
          <w:tcPr/>
          <w:p>
            <w:pPr>
              <w:pStyle w:val="Compact"/>
            </w:pPr>
            <w:r>
              <w:t xml:space="preserve">Mordecai the Jew was second to King Ahasuerus, great among the Jews, popular with the multitude of his brothers, seeking the welfare of his people and speaking peace to all his descendants</w:t>
            </w:r>
          </w:p>
        </w:tc>
        <w:tc>
          <w:tcPr/>
          <w:p>
            <w:pPr>
              <w:pStyle w:val="Compact"/>
            </w:pPr>
            <w:r>
              <w:t xml:space="preserve">The book’s final verse — theological summary; contrast with v.1 is intentional: tribute extracted vs. welfare sought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w:t>
            </w:r>
          </w:p>
        </w:tc>
        <w:tc>
          <w:tcPr/>
          <w:p>
            <w:pPr>
              <w:pStyle w:val="Compact"/>
            </w:pPr>
            <w:r>
              <w:t xml:space="preserve">Imperial Power: The King’s Reach Over Land and Sea</w:t>
            </w:r>
          </w:p>
        </w:tc>
      </w:tr>
      <w:tr>
        <w:tc>
          <w:tcPr/>
          <w:p>
            <w:pPr>
              <w:pStyle w:val="Compact"/>
            </w:pPr>
            <w:r>
              <w:t xml:space="preserve">2</w:t>
            </w:r>
          </w:p>
        </w:tc>
        <w:tc>
          <w:tcPr/>
          <w:p>
            <w:pPr>
              <w:pStyle w:val="Compact"/>
            </w:pPr>
            <w:r>
              <w:t xml:space="preserve">10:2</w:t>
            </w:r>
          </w:p>
        </w:tc>
        <w:tc>
          <w:tcPr/>
          <w:p>
            <w:pPr>
              <w:pStyle w:val="Compact"/>
            </w:pPr>
            <w:r>
              <w:t xml:space="preserve">The Record: Mordecai’s Greatness Archived with Persian Kings</w:t>
            </w:r>
          </w:p>
        </w:tc>
      </w:tr>
      <w:tr>
        <w:tc>
          <w:tcPr/>
          <w:p>
            <w:pPr>
              <w:pStyle w:val="Compact"/>
            </w:pPr>
            <w:r>
              <w:t xml:space="preserve">3</w:t>
            </w:r>
          </w:p>
        </w:tc>
        <w:tc>
          <w:tcPr/>
          <w:p>
            <w:pPr>
              <w:pStyle w:val="Compact"/>
            </w:pPr>
            <w:r>
              <w:t xml:space="preserve">10:3</w:t>
            </w:r>
          </w:p>
        </w:tc>
        <w:tc>
          <w:tcPr/>
          <w:p>
            <w:pPr>
              <w:pStyle w:val="Compact"/>
            </w:pPr>
            <w:r>
              <w:t xml:space="preserve">The Portrait: The Welfare-Seeking Advocate as the Book’s Final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Mordecai’s elevation and devotion to his people’s welfare seals the Esther narrative’s providential testimony.</w:t>
      </w:r>
    </w:p>
    <w:p>
      <w:pPr>
        <w:pStyle w:val="BodyText"/>
      </w:pPr>
      <w:r>
        <w:rPr>
          <w:b/>
          <w:bCs/>
        </w:rPr>
        <w:t xml:space="preserve">Primary Claim:</w:t>
      </w:r>
      <w:r>
        <w:t xml:space="preserve"> </w:t>
      </w:r>
      <w:r>
        <w:t xml:space="preserve">God brings His hidden providential purposes to completion not in imperial spectacle but in the welfare-seeking faithfulness of His people’s advocate — and calls every reader to that same vocation of seeking shalom for those placed in their care.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contrast between Ahasuerus in verse 1 and Mordecai in verse 3 is not incidental — it is the book’s final sermon. Ahasuerus uses his position to extract; Mordecai uses his position to protect and serve. Examine the positions of influence you currently hold — in your family, workplace, church, community — and ask with brutal honesty: Are you an Ahasuerus or a Mordecai? Are you leveraging your place for what you can take, or for what you can give to those entrusted to your care?</w:t>
      </w:r>
      <w:r>
        <w:t xml:space="preserve"> </w:t>
      </w:r>
      <w:r>
        <w:rPr>
          <w:i/>
          <w:iCs/>
        </w:rPr>
        <w:t xml:space="preserve">(Will/behavior)</w:t>
      </w:r>
    </w:p>
    <w:p>
      <w:pPr>
        <w:pStyle w:val="BodyText"/>
      </w:pPr>
      <w:r>
        <w:rPr>
          <w:b/>
          <w:bCs/>
        </w:rPr>
        <w:t xml:space="preserve">2.</w:t>
      </w:r>
      <w:r>
        <w:t xml:space="preserve"> </w:t>
      </w:r>
      <w:r>
        <w:t xml:space="preserve">Mordecai’s greatness is recorded in the official Persian chronicles — but the book of Esther tells us what those chronicles cannot: that his greatness was not self-generated but providentially prepared. God had been working invisibly across a decade of small events — a refusal to bow, a reported assassination plot, a sleepless king, a reversed gallows — to place Mordecai exactly where he stood. Rest your soul in this: God is doing the same invisible work in your ordinary life right now, arranging what you cannot see for purposes you may not understand until the final chapter.</w:t>
      </w:r>
      <w:r>
        <w:t xml:space="preserve"> </w:t>
      </w:r>
      <w:r>
        <w:rPr>
          <w:i/>
          <w:iCs/>
        </w:rPr>
        <w:t xml:space="preserve">(Mind/belief)</w:t>
      </w:r>
    </w:p>
    <w:p>
      <w:pPr>
        <w:pStyle w:val="BodyText"/>
      </w:pPr>
      <w:r>
        <w:rPr>
          <w:b/>
          <w:bCs/>
        </w:rPr>
        <w:t xml:space="preserve">3.</w:t>
      </w:r>
      <w:r>
        <w:t xml:space="preserve"> </w:t>
      </w:r>
      <w:r>
        <w:t xml:space="preserve">Verse 3 says Mordecai</w:t>
      </w:r>
      <w:r>
        <w:t xml:space="preserve"> </w:t>
      </w:r>
      <w:r>
        <w:t xml:space="preserve">“spoke peace to all his descendants.”</w:t>
      </w:r>
      <w:r>
        <w:t xml:space="preserve"> </w:t>
      </w:r>
      <w:r>
        <w:t xml:space="preserve">The welfare he sought was not only for his generation but for those who would come after him. The decisions you make today about faithfulness, integrity, and advocacy for the vulnerable are not private — they are forming a legacy that will speak to people you will never meet. What kind of peace are you speaking forward to the next generation through the life you are living now?</w:t>
      </w:r>
      <w:r>
        <w:t xml:space="preserve"> </w:t>
      </w:r>
      <w:r>
        <w:rPr>
          <w:i/>
          <w:iCs/>
        </w:rPr>
        <w:t xml:space="preserve">(Affections/worship)</w:t>
      </w:r>
    </w:p>
    <w:p>
      <w:pPr>
        <w:pStyle w:val="BodyText"/>
      </w:pPr>
      <w:r>
        <w:rPr>
          <w:b/>
          <w:bCs/>
        </w:rPr>
        <w:t xml:space="preserve">4.</w:t>
      </w:r>
      <w:r>
        <w:t xml:space="preserve"> </w:t>
      </w:r>
      <w:r>
        <w:t xml:space="preserve">The book of Esther never names God, yet God’s fingerprints are on every page. The closing chapter invites you to cultivate the same theological vision in your own life: the ability to see providence operating</w:t>
      </w:r>
      <w:r>
        <w:t xml:space="preserve"> </w:t>
      </w:r>
      <w:r>
        <w:rPr>
          <w:i/>
          <w:iCs/>
        </w:rPr>
        <w:t xml:space="preserve">in</w:t>
      </w:r>
      <w:r>
        <w:t xml:space="preserve"> </w:t>
      </w:r>
      <w:r>
        <w:t xml:space="preserve">the ordinary rather than only</w:t>
      </w:r>
      <w:r>
        <w:t xml:space="preserve"> </w:t>
      </w:r>
      <w:r>
        <w:rPr>
          <w:i/>
          <w:iCs/>
        </w:rPr>
        <w:t xml:space="preserve">through</w:t>
      </w:r>
      <w:r>
        <w:t xml:space="preserve"> </w:t>
      </w:r>
      <w:r>
        <w:t xml:space="preserve">the spectacular. Train yourself to look back across your life and identify the moments of reversal, of improbable timing, of doors opened and closed — and name what you see. God’s hiddenness is not God’s absence.</w:t>
      </w:r>
      <w:r>
        <w:t xml:space="preserve"> </w:t>
      </w:r>
      <w:r>
        <w:rPr>
          <w:i/>
          <w:iCs/>
        </w:rPr>
        <w:t xml:space="preserve">(Mind/belief)</w:t>
      </w:r>
    </w:p>
    <w:p>
      <w:pPr>
        <w:pStyle w:val="BodyText"/>
      </w:pPr>
      <w:r>
        <w:rPr>
          <w:b/>
          <w:bCs/>
        </w:rPr>
        <w:t xml:space="preserve">5.</w:t>
      </w:r>
      <w:r>
        <w:t xml:space="preserve"> </w:t>
      </w:r>
      <w:r>
        <w:t xml:space="preserve">Mordecai’s final description is that he was</w:t>
      </w:r>
      <w:r>
        <w:t xml:space="preserve"> </w:t>
      </w:r>
      <w:r>
        <w:t xml:space="preserve">“popular with the multitude of his brothers”</w:t>
      </w:r>
      <w:r>
        <w:t xml:space="preserve"> </w:t>
      </w:r>
      <w:r>
        <w:t xml:space="preserve">— beloved, not merely powerful. True providential fruitfulness produces not awe but affection, not subjects but brothers. Ask God to make you the kind of person whose influence makes others flourish and feel seen — not the kind whose power makes others feel small. Let Mordecai’s portrait be a mirror that reveals the gap between who you are and the kind of person God’s grace is working to make you.</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10 teaches that God’s providential sovereignty is not indifferent to human flourishing — it is oriented toward it. The entire machinery of Persian imperial power in verse 1 is set alongside a single Jewish man whose greatness consists entirely in welfare-seeking, and the text gives Mordecai the final word. This is not a statement about political arrangements but about the shape of God’s purposes: He raises up advocates for His people, He works through ordinary human faithfulness, and His goal is</w:t>
      </w:r>
      <w:r>
        <w:t xml:space="preserve"> </w:t>
      </w:r>
      <w:r>
        <w:rPr>
          <w:i/>
          <w:iCs/>
        </w:rPr>
        <w:t xml:space="preserve">shalom</w:t>
      </w:r>
      <w:r>
        <w:t xml:space="preserve"> </w:t>
      </w:r>
      <w:r>
        <w:t xml:space="preserve">— the peace and flourishing of His covenant community and, through them, the world. The book’s consistent hiddenness of the divine name does not undermine this theology but heightens it: providence does not require visibility to be real, powerful, or purposeful.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10 is a compressed display of two foundational Reformed convictions: the sovereignty of God over all human history, including pagan empires, and the instrumentality of human faithfulness within that sovereignty. Mordecai does not achieve his position by strategy or self-promotion — he arrives there as the fruit of God’s hidden governance across the entire narrative. This is the Reformed doctrine of providence in narrative form: God is the primary actor; human actors are genuine but secondary causes. Furthermore, the welfare-seeking portrait of Mordecai in verse 3 points forward redemptively to Christ, the ultimate Advocate who, raised to the Father’s right hand, intercedes perpetually for His people’s welfare and speaks peace to all His descendants — not from a Persian throne but from the throne of grace. Mordecai’s story is not the story’s end; it is a signpost toward the One whose advocacy is perfect and whose peace is permanent.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book of Esther ends not with an emperor’s tribute but with an exile’s welfare-seeking — and that is exactly where God wanted it to end. The whole point of the story is this: God’s hidden hand works through ordinary faithful people to protect His covenant community and produce shalom. You are living inside a story with the same Author. Stop waiting for the spectacular, and start asking how you are seeking the welfare of the people God has placed in your care — because that is what a life lived under providence looks like when it reaches its final verse.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mere postscript rather than a theological conclusion.</w:t>
      </w:r>
      <w:r>
        <w:t xml:space="preserve"> </w:t>
      </w:r>
      <w:r>
        <w:t xml:space="preserve">The most common homiletical failure with Esther 10 is to give it minimal attention — perhaps a closing paragraph in a series — and move on. This misses the chapter’s deliberate function as the book’s peroration. The final verse is not administrative; it is the thesis the entire book has been building toward. Preachers should give the ending its full theological weight and resist the impulse to treat brevity as insignificance.</w:t>
      </w:r>
    </w:p>
    <w:p>
      <w:pPr>
        <w:numPr>
          <w:ilvl w:val="0"/>
          <w:numId w:val="1002"/>
        </w:numPr>
      </w:pPr>
      <w:r>
        <w:rPr>
          <w:b/>
          <w:bCs/>
        </w:rPr>
        <w:t xml:space="preserve">Reducing Mordecai to a leadership exemplar without grounding him in providence.</w:t>
      </w:r>
      <w:r>
        <w:t xml:space="preserve"> </w:t>
      </w:r>
      <w:r>
        <w:t xml:space="preserve">It is tempting to preach Esther 10:3 as a straightforward</w:t>
      </w:r>
      <w:r>
        <w:t xml:space="preserve"> </w:t>
      </w:r>
      <w:r>
        <w:t xml:space="preserve">“servant leadership”</w:t>
      </w:r>
      <w:r>
        <w:t xml:space="preserve"> </w:t>
      </w:r>
      <w:r>
        <w:t xml:space="preserve">model — Mordecai as the template for Christian management or community influence. While the exemplar function is real, it must be derived from the preceding theology of providence, not substituted for it. Mordecai’s servant-heartedness is the fruit of God’s work through him; preaching him as a self-achieved model produces moralism, not gospel.</w:t>
      </w:r>
    </w:p>
    <w:p>
      <w:pPr>
        <w:numPr>
          <w:ilvl w:val="0"/>
          <w:numId w:val="1002"/>
        </w:numPr>
      </w:pPr>
      <w:r>
        <w:rPr>
          <w:b/>
          <w:bCs/>
        </w:rPr>
        <w:t xml:space="preserve">Missing the intentional contrast between Ahasuerus and Mordecai in verses 1 and 3.</w:t>
      </w:r>
      <w:r>
        <w:t xml:space="preserve"> </w:t>
      </w:r>
      <w:r>
        <w:t xml:space="preserve">The structural juxtaposition of tribute-extracting imperial power (v.1) and welfare-seeking advocacy (v.3) is the chapter’s main homiletical engine. Preachers who read these as parallel descriptions of two powerful men miss the pointed contrast the text is drawing. The empire takes; the covenant man gives. This contrast carries the weight of the book’s entire social and political theology.</w:t>
      </w:r>
    </w:p>
    <w:p>
      <w:pPr>
        <w:numPr>
          <w:ilvl w:val="0"/>
          <w:numId w:val="1002"/>
        </w:numPr>
      </w:pPr>
      <w:r>
        <w:rPr>
          <w:b/>
          <w:bCs/>
        </w:rPr>
        <w:t xml:space="preserve">Overreading the absence of God’s name as theological neutrality.</w:t>
      </w:r>
      <w:r>
        <w:t xml:space="preserve"> </w:t>
      </w:r>
      <w:r>
        <w:t xml:space="preserve">Some teachers, particularly in contexts wary of over-spiritualizing Old Testament narrative, may resist pressing the providential theology in Esther because God is not mentioned. This is a failure of canonical nerve. The rest of Scripture’s witness to providence (especially Joseph’s narrative in Genesis and the Psalms’ theology of God’s sovereign rule over nations) provides the framework that Esther assumes. The absence of the name is a literary and rhetorical choice, not a theological statement about God’s uninvolvement.</w:t>
      </w:r>
    </w:p>
    <w:p>
      <w:pPr>
        <w:numPr>
          <w:ilvl w:val="0"/>
          <w:numId w:val="1002"/>
        </w:numPr>
      </w:pPr>
      <w:r>
        <w:rPr>
          <w:b/>
          <w:bCs/>
        </w:rPr>
        <w:t xml:space="preserve">Neglecting the forward Christological trajectory.</w:t>
      </w:r>
      <w:r>
        <w:t xml:space="preserve"> </w:t>
      </w:r>
      <w:r>
        <w:t xml:space="preserve">Esther 10 — and the book as a whole — is frequently taught in isolated Old Testament terms, as a story of Jewish survival in exile. While this reading is correct as far as it goes, it stops short of the canonical endpoint. Mordecai as second-in-command, interceding for his people and speaking peace to his descendants, is a figure whose role finds its fulfillment in Christ’s exaltation and perpetual intercession. Preachers in Reformed and gospel-centered traditions should draw this trajectory without forcing allegory — the typological correspondence is real and illuminates both Mordecai’s portrait and Christ’s high-priestly work.</w:t>
      </w:r>
    </w:p>
    <w:p>
      <w:pPr>
        <w:numPr>
          <w:ilvl w:val="0"/>
          <w:numId w:val="1002"/>
        </w:numPr>
      </w:pPr>
      <w:r>
        <w:rPr>
          <w:b/>
          <w:bCs/>
        </w:rPr>
        <w:t xml:space="preserve">Failing to close the series by returning to the book’s governing question.</w:t>
      </w:r>
      <w:r>
        <w:t xml:space="preserve"> </w:t>
      </w:r>
      <w:r>
        <w:t xml:space="preserve">If Esther 10 is being preached as the conclusion of a series through Esther, preachers should resist the impulse to introduce new material and instead land the series’ cumulative claim: Where is God when He seems absent? The answer the book has given across ten chapters — and that Esther 10 finally seals — is that He is present, active, purposeful, and moving toward shalom for His people, even when He cannot be seen.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2026-07-14T21:03:51Z</dcterms:created>
  <dcterms:modified xsi:type="dcterms:W3CDTF">2026-07-14T21:03:51Z</dcterms:modified>
</cp:coreProperties>
</file>

<file path=docProps/custom.xml><?xml version="1.0" encoding="utf-8"?>
<Properties xmlns="http://schemas.openxmlformats.org/officeDocument/2006/custom-properties" xmlns:vt="http://schemas.openxmlformats.org/officeDocument/2006/docPropsVTypes"/>
</file>